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34" w:rsidRPr="003F7034" w:rsidRDefault="003F7034" w:rsidP="003F7034">
      <w:pPr>
        <w:rPr>
          <w:rFonts w:ascii="Times New Roman" w:hAnsi="Times New Roman" w:cs="Times New Roman"/>
        </w:rPr>
      </w:pPr>
      <w:r w:rsidRPr="003F7034">
        <w:rPr>
          <w:rFonts w:ascii="Times New Roman" w:hAnsi="Times New Roman" w:cs="Times New Roman"/>
        </w:rPr>
        <w:t>Rittenhouse</w:t>
      </w:r>
      <w:r>
        <w:rPr>
          <w:rFonts w:ascii="Times New Roman" w:hAnsi="Times New Roman" w:cs="Times New Roman"/>
        </w:rPr>
        <w:t xml:space="preserve"> </w:t>
      </w:r>
      <w:r w:rsidRPr="003F7034">
        <w:rPr>
          <w:rFonts w:ascii="Times New Roman" w:hAnsi="Times New Roman" w:cs="Times New Roman"/>
        </w:rPr>
        <w:t>Park</w:t>
      </w:r>
      <w:r>
        <w:rPr>
          <w:rFonts w:ascii="Times New Roman" w:hAnsi="Times New Roman" w:cs="Times New Roman"/>
        </w:rPr>
        <w:t xml:space="preserve"> </w:t>
      </w:r>
      <w:r w:rsidRPr="003F7034">
        <w:rPr>
          <w:rFonts w:ascii="Times New Roman" w:hAnsi="Times New Roman" w:cs="Times New Roman"/>
        </w:rPr>
        <w:t>AT WILLINGBORO</w:t>
      </w:r>
      <w:r w:rsidRPr="003F7034">
        <w:rPr>
          <w:rFonts w:ascii="Times New Roman" w:hAnsi="Times New Roman" w:cs="Times New Roman"/>
        </w:rPr>
        <w:pict>
          <v:rect id="_x0000_i1025" style="width:0;height:1.5pt" o:hralign="center" o:hrstd="t" o:hr="t" fillcolor="#a0a0a0" stroked="f"/>
        </w:pict>
      </w:r>
    </w:p>
    <w:p w:rsidR="003F7034" w:rsidRPr="003F7034" w:rsidRDefault="003F7034" w:rsidP="003F7034">
      <w:pPr>
        <w:rPr>
          <w:rFonts w:ascii="Times New Roman" w:hAnsi="Times New Roman" w:cs="Times New Roman"/>
        </w:rPr>
      </w:pPr>
      <w:r w:rsidRPr="003F7034">
        <w:rPr>
          <w:rFonts w:ascii="Times New Roman" w:hAnsi="Times New Roman" w:cs="Times New Roman"/>
        </w:rPr>
        <w:t xml:space="preserve">Rittenhouse Park is one of the many residential neighborhoods in the planned community of Willingboro. The community is Levitt and Sons' first development of townhouses, representing the company's first domestic departure from the detached single-family home since completing Riverdale in Norfolk County, Va. in 1943. </w:t>
      </w:r>
    </w:p>
    <w:p w:rsidR="003F7034" w:rsidRPr="003F7034" w:rsidRDefault="003F7034" w:rsidP="003F7034">
      <w:pPr>
        <w:rPr>
          <w:rFonts w:ascii="Times New Roman" w:hAnsi="Times New Roman" w:cs="Times New Roman"/>
        </w:rPr>
      </w:pPr>
      <w:r w:rsidRPr="003F7034">
        <w:rPr>
          <w:rFonts w:ascii="Times New Roman" w:hAnsi="Times New Roman" w:cs="Times New Roman"/>
        </w:rPr>
        <w:t>After building out the Rittenhouse Park neighborhood with 606 units, Levitt continued this very successful model with an additional 93 units in the smaller Fairmount Park neighborhood. The new section--the final neighborhood completed in Levitt's Willingboro--was continued as Rittenhouse Park II.</w:t>
      </w:r>
    </w:p>
    <w:p w:rsidR="003F7034" w:rsidRPr="003F7034" w:rsidRDefault="003F7034" w:rsidP="003F7034">
      <w:pPr>
        <w:rPr>
          <w:rFonts w:ascii="Times New Roman" w:hAnsi="Times New Roman" w:cs="Times New Roman"/>
        </w:rPr>
      </w:pPr>
      <w:r w:rsidRPr="003F7034">
        <w:rPr>
          <w:rFonts w:ascii="Times New Roman" w:hAnsi="Times New Roman" w:cs="Times New Roman"/>
        </w:rPr>
        <w:t>Location: Township of Willingboro in Burlington County, N.J.</w:t>
      </w:r>
    </w:p>
    <w:p w:rsidR="003F7034" w:rsidRPr="003F7034" w:rsidRDefault="003F7034" w:rsidP="003F7034">
      <w:pPr>
        <w:rPr>
          <w:rFonts w:ascii="Times New Roman" w:hAnsi="Times New Roman" w:cs="Times New Roman"/>
        </w:rPr>
      </w:pPr>
      <w:proofErr w:type="gramStart"/>
      <w:r w:rsidRPr="003F7034">
        <w:rPr>
          <w:rFonts w:ascii="Times New Roman" w:hAnsi="Times New Roman" w:cs="Times New Roman"/>
        </w:rPr>
        <w:t>Constructed by Levitt and Sons, Inc. and Levitt and Sons, Inc. (Delaware).</w:t>
      </w:r>
      <w:proofErr w:type="gramEnd"/>
    </w:p>
    <w:p w:rsidR="003F7034" w:rsidRPr="003F7034" w:rsidRDefault="003F7034" w:rsidP="003F7034">
      <w:pPr>
        <w:rPr>
          <w:rFonts w:ascii="Times New Roman" w:hAnsi="Times New Roman" w:cs="Times New Roman"/>
        </w:rPr>
      </w:pPr>
      <w:r w:rsidRPr="003F7034">
        <w:rPr>
          <w:rFonts w:ascii="Times New Roman" w:hAnsi="Times New Roman" w:cs="Times New Roman"/>
        </w:rPr>
        <w:t>Open for sales May 6, 1967.</w:t>
      </w:r>
    </w:p>
    <w:p w:rsidR="003F7034" w:rsidRPr="003F7034" w:rsidRDefault="003F7034" w:rsidP="003F7034">
      <w:pPr>
        <w:rPr>
          <w:rFonts w:ascii="Times New Roman" w:hAnsi="Times New Roman" w:cs="Times New Roman"/>
        </w:rPr>
      </w:pPr>
      <w:r w:rsidRPr="003F7034">
        <w:rPr>
          <w:rFonts w:ascii="Times New Roman" w:hAnsi="Times New Roman" w:cs="Times New Roman"/>
        </w:rPr>
        <w:t>Construction completed in 1971.</w:t>
      </w:r>
    </w:p>
    <w:p w:rsidR="003F7034" w:rsidRPr="003F7034" w:rsidRDefault="003F7034" w:rsidP="003F7034">
      <w:pPr>
        <w:rPr>
          <w:rFonts w:ascii="Times New Roman" w:hAnsi="Times New Roman" w:cs="Times New Roman"/>
        </w:rPr>
      </w:pPr>
      <w:r w:rsidRPr="003F7034">
        <w:rPr>
          <w:rFonts w:ascii="Times New Roman" w:hAnsi="Times New Roman" w:cs="Times New Roman"/>
        </w:rPr>
        <w:t>Sample homes located at 9 through 14 Ridgeview Place off Rockland Drive, south of the Garfield Park at Willingboro Exhibit Center.</w:t>
      </w:r>
    </w:p>
    <w:p w:rsidR="003F7034" w:rsidRPr="003F7034" w:rsidRDefault="003F7034" w:rsidP="003F7034">
      <w:pPr>
        <w:rPr>
          <w:rFonts w:ascii="Times New Roman" w:hAnsi="Times New Roman" w:cs="Times New Roman"/>
        </w:rPr>
      </w:pPr>
      <w:r w:rsidRPr="003F7034">
        <w:rPr>
          <w:rFonts w:ascii="Times New Roman" w:hAnsi="Times New Roman" w:cs="Times New Roman"/>
        </w:rPr>
        <w:t xml:space="preserve">Second phase in Fairmount Park marketed as </w:t>
      </w:r>
      <w:hyperlink r:id="rId5" w:anchor="Rittenhouse Park II" w:history="1">
        <w:r w:rsidRPr="003F7034">
          <w:rPr>
            <w:rStyle w:val="Hyperlink"/>
            <w:rFonts w:ascii="Times New Roman" w:hAnsi="Times New Roman" w:cs="Times New Roman"/>
          </w:rPr>
          <w:t>Rittenhouse Park II</w:t>
        </w:r>
      </w:hyperlink>
      <w:r w:rsidRPr="003F7034">
        <w:rPr>
          <w:rFonts w:ascii="Times New Roman" w:hAnsi="Times New Roman" w:cs="Times New Roman"/>
        </w:rPr>
        <w:t>.</w:t>
      </w:r>
    </w:p>
    <w:p w:rsidR="003F7034" w:rsidRPr="003F7034" w:rsidRDefault="003F7034" w:rsidP="003F7034">
      <w:pPr>
        <w:rPr>
          <w:rFonts w:ascii="Times New Roman" w:hAnsi="Times New Roman" w:cs="Times New Roman"/>
        </w:rPr>
      </w:pPr>
      <w:r w:rsidRPr="003F7034">
        <w:rPr>
          <w:rFonts w:ascii="Times New Roman" w:hAnsi="Times New Roman" w:cs="Times New Roman"/>
        </w:rPr>
        <w:t>625 homes planned.</w:t>
      </w:r>
    </w:p>
    <w:p w:rsidR="003F7034" w:rsidRPr="003F7034" w:rsidRDefault="003F7034" w:rsidP="003F7034">
      <w:pPr>
        <w:rPr>
          <w:rFonts w:ascii="Times New Roman" w:hAnsi="Times New Roman" w:cs="Times New Roman"/>
        </w:rPr>
      </w:pPr>
      <w:r w:rsidRPr="003F7034">
        <w:rPr>
          <w:rFonts w:ascii="Times New Roman" w:hAnsi="Times New Roman" w:cs="Times New Roman"/>
        </w:rPr>
        <w:t>699 homes constructed (includes 93 homes as Rittenhouse Park II in the Fairmount Park neighborhood).</w:t>
      </w:r>
    </w:p>
    <w:p w:rsidR="003F7034" w:rsidRPr="003F7034" w:rsidRDefault="003F7034" w:rsidP="003F7034">
      <w:pPr>
        <w:rPr>
          <w:rFonts w:ascii="Times New Roman" w:hAnsi="Times New Roman" w:cs="Times New Roman"/>
        </w:rPr>
      </w:pPr>
      <w:r w:rsidRPr="003F7034">
        <w:rPr>
          <w:rFonts w:ascii="Times New Roman" w:hAnsi="Times New Roman" w:cs="Times New Roman"/>
          <w:b/>
        </w:rPr>
        <w:t xml:space="preserve">LEVITTOWNBEYOND ADDS... </w:t>
      </w:r>
      <w:r w:rsidRPr="003F7034">
        <w:rPr>
          <w:rFonts w:ascii="Times New Roman" w:hAnsi="Times New Roman" w:cs="Times New Roman"/>
          <w:b/>
        </w:rPr>
        <w:br/>
      </w:r>
      <w:r w:rsidRPr="003F7034">
        <w:rPr>
          <w:rFonts w:ascii="Times New Roman" w:hAnsi="Times New Roman" w:cs="Times New Roman"/>
        </w:rPr>
        <w:t>Rittenhouse Park is Levitt's first community of townhomes. Sales were geared toward apartment dwellers--ads compared the cost of a mortgage in Rittenhouse Park with rent for an apartment with a comparable number of rooms, and pointed out the advantage of the mortgage tax deduction.</w:t>
      </w:r>
    </w:p>
    <w:p w:rsidR="00FB1DB5" w:rsidRDefault="00FB1DB5">
      <w:bookmarkStart w:id="0" w:name="_GoBack"/>
      <w:bookmarkEnd w:id="0"/>
    </w:p>
    <w:sectPr w:rsidR="00FB1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34"/>
    <w:rsid w:val="003F7034"/>
    <w:rsid w:val="00FB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0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7034"/>
    <w:rPr>
      <w:color w:val="404033"/>
      <w:u w:val="single"/>
    </w:rPr>
  </w:style>
  <w:style w:type="character" w:styleId="Strong">
    <w:name w:val="Strong"/>
    <w:basedOn w:val="DefaultParagraphFont"/>
    <w:uiPriority w:val="22"/>
    <w:qFormat/>
    <w:rsid w:val="003F7034"/>
    <w:rPr>
      <w:b/>
      <w:bCs/>
    </w:rPr>
  </w:style>
  <w:style w:type="character" w:styleId="Emphasis">
    <w:name w:val="Emphasis"/>
    <w:basedOn w:val="DefaultParagraphFont"/>
    <w:uiPriority w:val="20"/>
    <w:qFormat/>
    <w:rsid w:val="003F70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0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7034"/>
    <w:rPr>
      <w:color w:val="404033"/>
      <w:u w:val="single"/>
    </w:rPr>
  </w:style>
  <w:style w:type="character" w:styleId="Strong">
    <w:name w:val="Strong"/>
    <w:basedOn w:val="DefaultParagraphFont"/>
    <w:uiPriority w:val="22"/>
    <w:qFormat/>
    <w:rsid w:val="003F7034"/>
    <w:rPr>
      <w:b/>
      <w:bCs/>
    </w:rPr>
  </w:style>
  <w:style w:type="character" w:styleId="Emphasis">
    <w:name w:val="Emphasis"/>
    <w:basedOn w:val="DefaultParagraphFont"/>
    <w:uiPriority w:val="20"/>
    <w:qFormat/>
    <w:rsid w:val="003F7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10567">
      <w:bodyDiv w:val="1"/>
      <w:marLeft w:val="0"/>
      <w:marRight w:val="0"/>
      <w:marTop w:val="0"/>
      <w:marBottom w:val="0"/>
      <w:divBdr>
        <w:top w:val="none" w:sz="0" w:space="0" w:color="auto"/>
        <w:left w:val="none" w:sz="0" w:space="0" w:color="auto"/>
        <w:bottom w:val="none" w:sz="0" w:space="0" w:color="auto"/>
        <w:right w:val="none" w:sz="0" w:space="0" w:color="auto"/>
      </w:divBdr>
      <w:divsChild>
        <w:div w:id="183055622">
          <w:marLeft w:val="0"/>
          <w:marRight w:val="0"/>
          <w:marTop w:val="0"/>
          <w:marBottom w:val="0"/>
          <w:divBdr>
            <w:top w:val="none" w:sz="0" w:space="0" w:color="auto"/>
            <w:left w:val="none" w:sz="0" w:space="0" w:color="auto"/>
            <w:bottom w:val="none" w:sz="0" w:space="0" w:color="auto"/>
            <w:right w:val="none" w:sz="0" w:space="0" w:color="auto"/>
          </w:divBdr>
          <w:divsChild>
            <w:div w:id="369574176">
              <w:marLeft w:val="0"/>
              <w:marRight w:val="0"/>
              <w:marTop w:val="0"/>
              <w:marBottom w:val="0"/>
              <w:divBdr>
                <w:top w:val="none" w:sz="0" w:space="0" w:color="auto"/>
                <w:left w:val="none" w:sz="0" w:space="0" w:color="auto"/>
                <w:bottom w:val="none" w:sz="0" w:space="0" w:color="auto"/>
                <w:right w:val="none" w:sz="0" w:space="0" w:color="auto"/>
              </w:divBdr>
              <w:divsChild>
                <w:div w:id="1521896447">
                  <w:marLeft w:val="0"/>
                  <w:marRight w:val="0"/>
                  <w:marTop w:val="0"/>
                  <w:marBottom w:val="0"/>
                  <w:divBdr>
                    <w:top w:val="none" w:sz="0" w:space="0" w:color="auto"/>
                    <w:left w:val="none" w:sz="0" w:space="0" w:color="auto"/>
                    <w:bottom w:val="none" w:sz="0" w:space="0" w:color="auto"/>
                    <w:right w:val="none" w:sz="0" w:space="0" w:color="auto"/>
                  </w:divBdr>
                  <w:divsChild>
                    <w:div w:id="652761557">
                      <w:marLeft w:val="3000"/>
                      <w:marRight w:val="30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5666420">
      <w:bodyDiv w:val="1"/>
      <w:marLeft w:val="0"/>
      <w:marRight w:val="0"/>
      <w:marTop w:val="0"/>
      <w:marBottom w:val="0"/>
      <w:divBdr>
        <w:top w:val="none" w:sz="0" w:space="0" w:color="auto"/>
        <w:left w:val="none" w:sz="0" w:space="0" w:color="auto"/>
        <w:bottom w:val="none" w:sz="0" w:space="0" w:color="auto"/>
        <w:right w:val="none" w:sz="0" w:space="0" w:color="auto"/>
      </w:divBdr>
      <w:divsChild>
        <w:div w:id="954750930">
          <w:marLeft w:val="0"/>
          <w:marRight w:val="0"/>
          <w:marTop w:val="0"/>
          <w:marBottom w:val="0"/>
          <w:divBdr>
            <w:top w:val="none" w:sz="0" w:space="0" w:color="auto"/>
            <w:left w:val="none" w:sz="0" w:space="0" w:color="auto"/>
            <w:bottom w:val="none" w:sz="0" w:space="0" w:color="auto"/>
            <w:right w:val="none" w:sz="0" w:space="0" w:color="auto"/>
          </w:divBdr>
          <w:divsChild>
            <w:div w:id="295065004">
              <w:marLeft w:val="0"/>
              <w:marRight w:val="0"/>
              <w:marTop w:val="0"/>
              <w:marBottom w:val="0"/>
              <w:divBdr>
                <w:top w:val="none" w:sz="0" w:space="0" w:color="auto"/>
                <w:left w:val="none" w:sz="0" w:space="0" w:color="auto"/>
                <w:bottom w:val="none" w:sz="0" w:space="0" w:color="auto"/>
                <w:right w:val="none" w:sz="0" w:space="0" w:color="auto"/>
              </w:divBdr>
              <w:divsChild>
                <w:div w:id="141311601">
                  <w:marLeft w:val="0"/>
                  <w:marRight w:val="0"/>
                  <w:marTop w:val="0"/>
                  <w:marBottom w:val="0"/>
                  <w:divBdr>
                    <w:top w:val="none" w:sz="0" w:space="0" w:color="auto"/>
                    <w:left w:val="none" w:sz="0" w:space="0" w:color="auto"/>
                    <w:bottom w:val="none" w:sz="0" w:space="0" w:color="auto"/>
                    <w:right w:val="none" w:sz="0" w:space="0" w:color="auto"/>
                  </w:divBdr>
                  <w:divsChild>
                    <w:div w:id="1763141806">
                      <w:marLeft w:val="3000"/>
                      <w:marRight w:val="30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58820168">
      <w:bodyDiv w:val="1"/>
      <w:marLeft w:val="0"/>
      <w:marRight w:val="0"/>
      <w:marTop w:val="0"/>
      <w:marBottom w:val="0"/>
      <w:divBdr>
        <w:top w:val="none" w:sz="0" w:space="0" w:color="auto"/>
        <w:left w:val="none" w:sz="0" w:space="0" w:color="auto"/>
        <w:bottom w:val="none" w:sz="0" w:space="0" w:color="auto"/>
        <w:right w:val="none" w:sz="0" w:space="0" w:color="auto"/>
      </w:divBdr>
      <w:divsChild>
        <w:div w:id="237521455">
          <w:marLeft w:val="0"/>
          <w:marRight w:val="0"/>
          <w:marTop w:val="0"/>
          <w:marBottom w:val="0"/>
          <w:divBdr>
            <w:top w:val="none" w:sz="0" w:space="0" w:color="auto"/>
            <w:left w:val="none" w:sz="0" w:space="0" w:color="auto"/>
            <w:bottom w:val="none" w:sz="0" w:space="0" w:color="auto"/>
            <w:right w:val="none" w:sz="0" w:space="0" w:color="auto"/>
          </w:divBdr>
          <w:divsChild>
            <w:div w:id="1402562511">
              <w:marLeft w:val="0"/>
              <w:marRight w:val="0"/>
              <w:marTop w:val="0"/>
              <w:marBottom w:val="0"/>
              <w:divBdr>
                <w:top w:val="none" w:sz="0" w:space="0" w:color="auto"/>
                <w:left w:val="none" w:sz="0" w:space="0" w:color="auto"/>
                <w:bottom w:val="none" w:sz="0" w:space="0" w:color="auto"/>
                <w:right w:val="none" w:sz="0" w:space="0" w:color="auto"/>
              </w:divBdr>
              <w:divsChild>
                <w:div w:id="122890555">
                  <w:marLeft w:val="150"/>
                  <w:marRight w:val="0"/>
                  <w:marTop w:val="150"/>
                  <w:marBottom w:val="0"/>
                  <w:divBdr>
                    <w:top w:val="single" w:sz="6" w:space="0" w:color="FFFFE6"/>
                    <w:left w:val="single" w:sz="6" w:space="0" w:color="FFFFE6"/>
                    <w:bottom w:val="single" w:sz="6" w:space="0" w:color="FFFFE6"/>
                    <w:right w:val="single" w:sz="6" w:space="0" w:color="FFFFE6"/>
                  </w:divBdr>
                  <w:divsChild>
                    <w:div w:id="10923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vittownbeyond.com/RittenhousePar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Fagan</dc:creator>
  <cp:lastModifiedBy>Jenna Fagan</cp:lastModifiedBy>
  <cp:revision>1</cp:revision>
  <dcterms:created xsi:type="dcterms:W3CDTF">2012-09-11T18:54:00Z</dcterms:created>
  <dcterms:modified xsi:type="dcterms:W3CDTF">2012-09-11T18:57:00Z</dcterms:modified>
</cp:coreProperties>
</file>